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EC52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EC52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EC52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C52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9730EC" w:rsidRPr="006B2FFB" w:rsidRDefault="009E4D00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 w:eastAsia="ru-RU"/>
        </w:rPr>
      </w:pPr>
      <w:r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01 грудня</w:t>
      </w:r>
      <w:r w:rsidR="001D624D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2025</w:t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р</w:t>
      </w:r>
      <w:r w:rsidR="00C36C96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оку</w:t>
      </w:r>
      <w:r w:rsidR="00EC7F94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EC7F94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746DFB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9E65DE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               </w:t>
      </w:r>
      <w:r w:rsidR="00004062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м. Київ</w:t>
      </w:r>
    </w:p>
    <w:p w:rsidR="009730EC" w:rsidRPr="00893D65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893D65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 № </w:t>
      </w:r>
      <w:r w:rsidR="00D76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209/зп-25</w:t>
      </w:r>
    </w:p>
    <w:p w:rsidR="00F36D0E" w:rsidRPr="00893D65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6B2FFB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Вища кваліфікаційна комісія суддів України </w:t>
      </w:r>
      <w:r w:rsidR="00670BF7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у пленарному складі:</w:t>
      </w:r>
    </w:p>
    <w:p w:rsidR="00670BF7" w:rsidRPr="006B2FFB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670BF7" w:rsidRPr="006B2FFB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головуючого – </w:t>
      </w:r>
      <w:r w:rsidR="00494FC7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Олега КОЛІУША</w:t>
      </w:r>
      <w:r w:rsidR="00D42D6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</w:t>
      </w:r>
    </w:p>
    <w:p w:rsidR="00670BF7" w:rsidRPr="006B2FFB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500087" w:rsidRPr="006B2FFB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членів Комісії:</w:t>
      </w:r>
      <w:r w:rsidR="00AA14F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  <w:r w:rsidR="008C3C3D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Михайла БОГОНОСА, </w:t>
      </w:r>
      <w:r w:rsidR="00DA5E2F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Віталія </w:t>
      </w:r>
      <w:r w:rsidR="006B7361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ГАЦЕЛЮКА, </w:t>
      </w:r>
      <w:r w:rsidR="00AA14F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Ярослава ДУХА</w:t>
      </w:r>
      <w:r w:rsidR="00BD3799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(доповідач)</w:t>
      </w:r>
      <w:r w:rsidR="00AA14F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, </w:t>
      </w:r>
      <w:r w:rsidR="008876E3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Романа </w:t>
      </w:r>
      <w:r w:rsidR="0014548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КИДИСЮКА,</w:t>
      </w:r>
      <w:r w:rsidR="00EB44E5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  <w:r w:rsidR="006B7361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Надії КОБЕЦЬКОЇ</w:t>
      </w:r>
      <w:r w:rsidR="0014548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, </w:t>
      </w:r>
      <w:r w:rsidR="008C3C3D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Ігоря КУШНІРА, </w:t>
      </w:r>
      <w:r w:rsidR="001D624D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Володимира ЛУГАНСЬКОГО, </w:t>
      </w:r>
      <w:r w:rsidR="00DB766A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Руслана МЕЛЬНИКА</w:t>
      </w:r>
      <w:r w:rsidR="00145484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</w:t>
      </w:r>
      <w:r w:rsidR="00BD3799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  <w:r w:rsidR="00002405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Олексія ОМЕЛЬЯНА, </w:t>
      </w:r>
      <w:r w:rsidR="00F85EFE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Романа САБОДАША</w:t>
      </w:r>
      <w:r w:rsidR="00DB766A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, </w:t>
      </w:r>
      <w:r w:rsidR="00EC5262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Руслана СИДОРОВИЧА, </w:t>
      </w:r>
      <w:r w:rsidR="008C3C3D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Сергія ЧУМАКА, </w:t>
      </w:r>
      <w:r w:rsidR="00DB766A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Галини ШЕВЧУК</w:t>
      </w:r>
      <w:r w:rsidR="00C853EF" w:rsidRPr="006B2FF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</w:t>
      </w:r>
    </w:p>
    <w:p w:rsidR="008120AE" w:rsidRPr="006B2FFB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8241A3" w:rsidRPr="006B2FFB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="00D0631F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заяву </w:t>
      </w:r>
      <w:r w:rsidR="00BD3799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Цебрика Любомира Васильовича</w:t>
      </w:r>
      <w:r w:rsidR="0038035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про відвід </w:t>
      </w:r>
      <w:r w:rsidR="008C3C3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член</w:t>
      </w:r>
      <w:r w:rsidR="00BD3799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а</w:t>
      </w:r>
      <w:r w:rsidR="00D0631F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Вищої кваліфікаційно</w:t>
      </w:r>
      <w:r w:rsidR="00DB766A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ї комісії суддів України</w:t>
      </w:r>
      <w:r w:rsidR="00680809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r w:rsidR="00002405" w:rsidRPr="006B2FFB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Пасічника Андрія Володимировича</w:t>
      </w:r>
      <w:r w:rsidR="00AE2136" w:rsidRPr="006B2F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145484" w:rsidRPr="006B2FFB" w:rsidRDefault="00145484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8120AE" w:rsidRPr="006B2FFB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встановила:</w:t>
      </w:r>
    </w:p>
    <w:p w:rsidR="008120AE" w:rsidRPr="006B2FFB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uk-UA"/>
        </w:rPr>
      </w:pPr>
    </w:p>
    <w:p w:rsidR="00CA025A" w:rsidRPr="006B2FFB" w:rsidRDefault="00F04BBB" w:rsidP="00CA0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</w:pP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Рішенням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Вищої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r w:rsidR="00E86E1B" w:rsidRPr="006B2FFB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кваліфікаційної комісії суддів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від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14 вересня 2023 року </w:t>
      </w:r>
      <w:r w:rsidR="00321B15" w:rsidRPr="006B2FFB">
        <w:rPr>
          <w:rFonts w:ascii="Times New Roman" w:hAnsi="Times New Roman" w:cs="Times New Roman"/>
          <w:sz w:val="25"/>
          <w:szCs w:val="25"/>
        </w:rPr>
        <w:br/>
      </w:r>
      <w:r w:rsidR="00CA025A" w:rsidRPr="006B2FFB">
        <w:rPr>
          <w:rFonts w:ascii="Times New Roman" w:hAnsi="Times New Roman" w:cs="Times New Roman"/>
          <w:sz w:val="25"/>
          <w:szCs w:val="25"/>
        </w:rPr>
        <w:t>№ 94/зп-23 (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зі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змінами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)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оголошено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конкурс на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зайняття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550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вакантних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посад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суддів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апеляційних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судах (</w:t>
      </w:r>
      <w:proofErr w:type="spellStart"/>
      <w:r w:rsidR="00CA025A" w:rsidRPr="006B2FFB">
        <w:rPr>
          <w:rFonts w:ascii="Times New Roman" w:hAnsi="Times New Roman" w:cs="Times New Roman"/>
          <w:sz w:val="25"/>
          <w:szCs w:val="25"/>
        </w:rPr>
        <w:t>далі</w:t>
      </w:r>
      <w:proofErr w:type="spellEnd"/>
      <w:r w:rsidR="00CA025A" w:rsidRPr="006B2FFB">
        <w:rPr>
          <w:rFonts w:ascii="Times New Roman" w:hAnsi="Times New Roman" w:cs="Times New Roman"/>
          <w:sz w:val="25"/>
          <w:szCs w:val="25"/>
        </w:rPr>
        <w:t xml:space="preserve"> – Конкурс).</w:t>
      </w:r>
    </w:p>
    <w:p w:rsidR="00276A6D" w:rsidRPr="006B2FFB" w:rsidRDefault="00CA025A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Цебрик Л.В.</w:t>
      </w:r>
      <w:r w:rsidR="008C3C3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подав документи для участі в </w:t>
      </w:r>
      <w:r w:rsidR="001243A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К</w:t>
      </w:r>
      <w:r w:rsidR="008C3C3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о</w:t>
      </w:r>
      <w:r w:rsidR="001243A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н</w:t>
      </w:r>
      <w:r w:rsidR="00DD51AF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курсі.</w:t>
      </w:r>
    </w:p>
    <w:p w:rsidR="00CA025A" w:rsidRPr="006B2FFB" w:rsidRDefault="00CA025A" w:rsidP="00CA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Відповідно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до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рішення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від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28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к</w:t>
      </w:r>
      <w:bookmarkStart w:id="0" w:name="_GoBack"/>
      <w:bookmarkEnd w:id="0"/>
      <w:r w:rsidRPr="006B2FFB">
        <w:rPr>
          <w:rFonts w:ascii="Times New Roman" w:hAnsi="Times New Roman" w:cs="Times New Roman"/>
          <w:sz w:val="25"/>
          <w:szCs w:val="25"/>
        </w:rPr>
        <w:t>вітня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2025 року № 92/зп-25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здійснено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повторний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автоматизований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розподіл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справ (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документів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)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кандидатів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на посади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суддів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Запорізького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апеляційного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суду в межах Конкурсу.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Згідно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з протоколом повторного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авторозподілу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між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членами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від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21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травня</w:t>
      </w:r>
      <w:proofErr w:type="spellEnd"/>
      <w:r w:rsidR="00321B15" w:rsidRPr="006B2FF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6B2FFB">
        <w:rPr>
          <w:rFonts w:ascii="Times New Roman" w:hAnsi="Times New Roman" w:cs="Times New Roman"/>
          <w:sz w:val="25"/>
          <w:szCs w:val="25"/>
        </w:rPr>
        <w:t xml:space="preserve">2025 року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доповідачем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у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справі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визначено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члена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Духа Я.М. </w:t>
      </w:r>
    </w:p>
    <w:p w:rsidR="002B4C49" w:rsidRPr="006B2FFB" w:rsidRDefault="002B4C49" w:rsidP="00CA0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Відповідно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до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рішення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від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13 листопада 2025 року № 560/ас-25 за результатами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проходження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процедури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кваліфікаційного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оцінювання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кандидат </w:t>
      </w:r>
      <w:proofErr w:type="gram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 посаду</w:t>
      </w:r>
      <w:proofErr w:type="gram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судді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апеляційного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загального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суду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Цебрик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Л.В. набрав 679,80 бала,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що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становить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більше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75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відсотків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від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суми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максимально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можливих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балів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за результатами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кваліфікаційного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оцінювання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всіх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критеріїв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2B4C49" w:rsidRPr="006B2FFB" w:rsidRDefault="002B4C49" w:rsidP="00307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итання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про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підтвердження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здатності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Цебрика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Любомира </w:t>
      </w:r>
      <w:proofErr w:type="spellStart"/>
      <w:r w:rsidRPr="006B2FFB">
        <w:rPr>
          <w:rFonts w:ascii="Times New Roman" w:hAnsi="Times New Roman" w:cs="Times New Roman"/>
          <w:sz w:val="25"/>
          <w:szCs w:val="25"/>
        </w:rPr>
        <w:t>Васильовича</w:t>
      </w:r>
      <w:proofErr w:type="spellEnd"/>
      <w:r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здійснювати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правосуддя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апеляційному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загальному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суді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</w:t>
      </w:r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нести на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розгляд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Вищої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кваліфікаційної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суддів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України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 пленарному </w:t>
      </w:r>
      <w:proofErr w:type="spellStart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складі</w:t>
      </w:r>
      <w:proofErr w:type="spellEnd"/>
      <w:r w:rsidRPr="006B2F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r w:rsidRPr="006B2FFB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</w:p>
    <w:p w:rsidR="001243AD" w:rsidRPr="006B2FFB" w:rsidRDefault="00CA025A" w:rsidP="0030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26 листопада</w:t>
      </w:r>
      <w:r w:rsidR="001243A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2025 року 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Цебрик Л.В.</w:t>
      </w:r>
      <w:r w:rsidR="001243A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подав </w:t>
      </w:r>
      <w:r w:rsidR="00F04BB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до Комісії заяву про </w:t>
      </w:r>
      <w:r w:rsidR="001243A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відвід членів колегії 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№ 3</w:t>
      </w:r>
      <w:r w:rsidR="00E031B0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1243A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Комісії </w:t>
      </w:r>
      <w:proofErr w:type="spellStart"/>
      <w:r w:rsidR="00067532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Омельяна</w:t>
      </w:r>
      <w:proofErr w:type="spellEnd"/>
      <w:r w:rsidR="00067532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О.С., </w:t>
      </w:r>
      <w:r w:rsidR="00E031B0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Пасічника А.В., </w:t>
      </w:r>
      <w:proofErr w:type="spellStart"/>
      <w:r w:rsidR="00E031B0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Сабодаша</w:t>
      </w:r>
      <w:proofErr w:type="spellEnd"/>
      <w:r w:rsidR="00E031B0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Р.Б.</w:t>
      </w:r>
    </w:p>
    <w:p w:rsidR="00E031B0" w:rsidRPr="006B2FFB" w:rsidRDefault="001243AD" w:rsidP="0030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Заява кандидата мотивована тим, що </w:t>
      </w:r>
      <w:r w:rsidR="00E031B0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вказана колегія Комісії проводила з ним співбесіду як з кандидатом на посаду судді і ухвалила рішення </w:t>
      </w:r>
      <w:r w:rsidR="004D6BB3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 14 березня 2024 року </w:t>
      </w:r>
      <w:r w:rsidR="006B3521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br/>
      </w:r>
      <w:r w:rsidR="004D6BB3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№ 342/дс-24 про відмову у внесенні рекомендації Вищій раді правосуддя для призначення Цебрика Л.В. на посаду судді Біляївського районного суду Одеської області. </w:t>
      </w:r>
    </w:p>
    <w:p w:rsidR="00E031B0" w:rsidRPr="006B2FFB" w:rsidRDefault="00752E66" w:rsidP="0030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lastRenderedPageBreak/>
        <w:t>Цебрик Л.В. зазначає, що</w:t>
      </w:r>
      <w:r w:rsidR="007A736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у рішенні Комісії від 14 березня 2024 року </w:t>
      </w:r>
      <w:r w:rsidR="00321B15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br/>
      </w:r>
      <w:r w:rsidR="007A736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№ 342/дс-24 зроблено висновок, що за результатами вивчення досьє кандидата на посаду судді та співбесіди, отримано інформацію, яка породжує обґрунтовані сумніви у чесності, неупередженості, сумлінності кандидата, у дотриманні ним етичних норм, бездоганній поведінці у професійній діяльності та особистому житті. Отже, на думку Цебрика Л.В.</w:t>
      </w:r>
      <w:r w:rsidR="00321B15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</w:t>
      </w:r>
      <w:r w:rsidR="007A736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члени Комісії Омельян О.С., Пасічник А.В., Сабодаш Р.Б., які приймали стосовно нього, як кандидата на посаду судді першої інстанції</w:t>
      </w:r>
      <w:r w:rsidR="00321B15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рішення</w:t>
      </w:r>
      <w:r w:rsidR="007A736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 сформували свою думку щодо його невідповідності критеріям доброчесності та професійної етики</w:t>
      </w:r>
      <w:r w:rsidR="00321B15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й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вважають, що існують </w:t>
      </w:r>
      <w:r w:rsidR="005823E7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обґрунтовані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сумніви щодо </w:t>
      </w:r>
      <w:r w:rsidR="005823E7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його 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відповідності критеріям професійної етики та доброчесності, а отже можуть висловити протилежну думку та прийняти інше рішення </w:t>
      </w:r>
      <w:r w:rsidR="005823E7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під час проведення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конкурс</w:t>
      </w:r>
      <w:r w:rsidR="005823E7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на посаду судді апеляційної інстанції. </w:t>
      </w:r>
    </w:p>
    <w:p w:rsidR="005F146F" w:rsidRPr="006B2FFB" w:rsidRDefault="005F146F" w:rsidP="0030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У зв’язку з </w:t>
      </w:r>
      <w:r w:rsidR="005823E7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зазначеним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Цебрик Л.В.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просить</w:t>
      </w:r>
      <w:r w:rsidR="00ED1DA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задовольнити його заяву про відвід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членів </w:t>
      </w:r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третьої 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колегії Комісії </w:t>
      </w:r>
      <w:proofErr w:type="spellStart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Омельяна</w:t>
      </w:r>
      <w:proofErr w:type="spellEnd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О.С., Пасічника А.В., </w:t>
      </w:r>
      <w:proofErr w:type="spellStart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Сабодаша</w:t>
      </w:r>
      <w:proofErr w:type="spellEnd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Р.Б.  </w:t>
      </w:r>
      <w:r w:rsidR="00ED1DA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Відвести </w:t>
      </w:r>
      <w:proofErr w:type="spellStart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Омельяна</w:t>
      </w:r>
      <w:proofErr w:type="spellEnd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О.С., Пасічника А.В., </w:t>
      </w:r>
      <w:proofErr w:type="spellStart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Сабодаша</w:t>
      </w:r>
      <w:proofErr w:type="spellEnd"/>
      <w:r w:rsidR="006556F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Р.Б.</w:t>
      </w:r>
      <w:r w:rsidR="00ED1DA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0B4B1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 ухвалення рішень індивідуального характеру </w:t>
      </w:r>
      <w:r w:rsidR="00ED1DAB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стосовно нього в межах</w:t>
      </w:r>
      <w:r w:rsidR="000B4B1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конкурсу </w:t>
      </w:r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</w:t>
      </w:r>
      <w:proofErr w:type="spellStart"/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зайняття</w:t>
      </w:r>
      <w:proofErr w:type="spellEnd"/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вакантних</w:t>
      </w:r>
      <w:proofErr w:type="spellEnd"/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посад </w:t>
      </w:r>
      <w:proofErr w:type="spellStart"/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70473"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 апеляційних судах</w:t>
      </w:r>
      <w:r w:rsidR="000B4B1D"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, оголошеного рішенням Комісії </w:t>
      </w:r>
      <w:r w:rsidR="008B02B1"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від</w:t>
      </w:r>
      <w:r w:rsidR="00D70473" w:rsidRPr="006B2FFB">
        <w:rPr>
          <w:rFonts w:ascii="Times New Roman" w:hAnsi="Times New Roman" w:cs="Times New Roman"/>
          <w:sz w:val="25"/>
          <w:szCs w:val="25"/>
        </w:rPr>
        <w:t xml:space="preserve"> 14 вересня 2023 року № 94/зп-23 </w:t>
      </w:r>
      <w:r w:rsidR="003B7D63" w:rsidRPr="006B2FFB">
        <w:rPr>
          <w:rFonts w:ascii="Times New Roman" w:hAnsi="Times New Roman" w:cs="Times New Roman"/>
          <w:sz w:val="25"/>
          <w:szCs w:val="25"/>
        </w:rPr>
        <w:br/>
      </w:r>
      <w:r w:rsidR="00D70473" w:rsidRPr="006B2FFB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="00D70473" w:rsidRPr="006B2FFB">
        <w:rPr>
          <w:rFonts w:ascii="Times New Roman" w:hAnsi="Times New Roman" w:cs="Times New Roman"/>
          <w:sz w:val="25"/>
          <w:szCs w:val="25"/>
        </w:rPr>
        <w:t>зі</w:t>
      </w:r>
      <w:proofErr w:type="spellEnd"/>
      <w:r w:rsidR="00D70473" w:rsidRPr="006B2FF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70473" w:rsidRPr="006B2FFB">
        <w:rPr>
          <w:rFonts w:ascii="Times New Roman" w:hAnsi="Times New Roman" w:cs="Times New Roman"/>
          <w:sz w:val="25"/>
          <w:szCs w:val="25"/>
        </w:rPr>
        <w:t>змінами</w:t>
      </w:r>
      <w:proofErr w:type="spellEnd"/>
      <w:r w:rsidR="00D70473" w:rsidRPr="006B2FFB">
        <w:rPr>
          <w:rFonts w:ascii="Times New Roman" w:hAnsi="Times New Roman" w:cs="Times New Roman"/>
          <w:sz w:val="25"/>
          <w:szCs w:val="25"/>
        </w:rPr>
        <w:t>)</w:t>
      </w:r>
      <w:r w:rsidR="000B4B1D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</w:p>
    <w:p w:rsidR="00CE4409" w:rsidRPr="006B2FFB" w:rsidRDefault="00FF08D0" w:rsidP="00307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Розглянувши заяву </w:t>
      </w:r>
      <w:r w:rsidR="00D70473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Цебрика Л.В.</w:t>
      </w:r>
      <w:r w:rsidR="0022360A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 Комісія встановила таке.</w:t>
      </w:r>
    </w:p>
    <w:p w:rsidR="00CE4409" w:rsidRPr="006B2FFB" w:rsidRDefault="00CE4409" w:rsidP="00307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Відповідно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пункту 92 Регламенту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Вищої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кваліфікаційної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України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затверджен</w:t>
      </w:r>
      <w:proofErr w:type="spellEnd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ого</w:t>
      </w:r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рішенням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Вищої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кваліфікаційної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України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B02B1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від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13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жовтня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2016 року № 81/зп-16 (у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редакції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рішення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Вищої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кваліфікаційної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України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від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19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жовтня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2023 року № 119/зп-23,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зі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змінами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) (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далі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– Регламент)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питання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відвід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самовідвід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члена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вирішується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відповідно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статті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100 Закону</w:t>
      </w:r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proofErr w:type="spellStart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України</w:t>
      </w:r>
      <w:proofErr w:type="spellEnd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«Про </w:t>
      </w:r>
      <w:proofErr w:type="spellStart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судоустрій</w:t>
      </w:r>
      <w:proofErr w:type="spellEnd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і статус </w:t>
      </w:r>
      <w:proofErr w:type="spellStart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="005823E7"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(далі - Закон)</w:t>
      </w:r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Рішення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відвід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самовідвід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кількох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членів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ухвалюється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щодо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кожного з них </w:t>
      </w:r>
      <w:proofErr w:type="spellStart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окремо</w:t>
      </w:r>
      <w:proofErr w:type="spellEnd"/>
      <w:r w:rsidRPr="006B2FF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CE4409" w:rsidRPr="006B2FFB" w:rsidRDefault="00CE4409" w:rsidP="00307FB3">
      <w:pPr>
        <w:pStyle w:val="a6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>Відповідно до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E4409" w:rsidRPr="006B2FFB" w:rsidRDefault="00CE4409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E4409" w:rsidRPr="006B2FFB" w:rsidRDefault="00CE4409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>Відвід має бути вмотивованим і поданим до початку розгляду питання у форм</w:t>
      </w:r>
      <w:r w:rsidR="008B02B1" w:rsidRPr="006B2FFB">
        <w:rPr>
          <w:color w:val="000000" w:themeColor="text1"/>
          <w:sz w:val="25"/>
          <w:szCs w:val="25"/>
        </w:rPr>
        <w:t>і письмової заяви. Головуючий у</w:t>
      </w:r>
      <w:r w:rsidRPr="006B2FFB">
        <w:rPr>
          <w:color w:val="000000" w:themeColor="text1"/>
          <w:sz w:val="25"/>
          <w:szCs w:val="25"/>
        </w:rPr>
        <w:t xml:space="preserve"> засіданні зобов’язаний ознайомити із заявою про відвід члена Комісії, якому заявлено відвід.</w:t>
      </w:r>
    </w:p>
    <w:p w:rsidR="00CE4409" w:rsidRPr="006B2FFB" w:rsidRDefault="00CE4409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</w:t>
      </w:r>
      <w:r w:rsidR="008B02B1" w:rsidRPr="006B2FFB">
        <w:rPr>
          <w:color w:val="000000" w:themeColor="text1"/>
          <w:sz w:val="25"/>
          <w:szCs w:val="25"/>
        </w:rPr>
        <w:t>стосовно</w:t>
      </w:r>
      <w:r w:rsidRPr="006B2FFB">
        <w:rPr>
          <w:color w:val="000000" w:themeColor="text1"/>
          <w:sz w:val="25"/>
          <w:szCs w:val="25"/>
        </w:rPr>
        <w:t xml:space="preserve"> якого вирішується питання про відвід (самовідвід).</w:t>
      </w:r>
    </w:p>
    <w:p w:rsidR="00B3760A" w:rsidRPr="006B2FFB" w:rsidRDefault="00B05FAE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6B2FFB">
        <w:rPr>
          <w:color w:val="000000" w:themeColor="text1"/>
          <w:sz w:val="25"/>
          <w:szCs w:val="25"/>
          <w:shd w:val="clear" w:color="auto" w:fill="FFFFFF"/>
        </w:rPr>
        <w:t>Рішенням Комісії від 14 вересня 202</w:t>
      </w:r>
      <w:r w:rsidR="00B3760A" w:rsidRPr="006B2FFB">
        <w:rPr>
          <w:color w:val="000000" w:themeColor="text1"/>
          <w:sz w:val="25"/>
          <w:szCs w:val="25"/>
          <w:shd w:val="clear" w:color="auto" w:fill="FFFFFF"/>
        </w:rPr>
        <w:t>4</w:t>
      </w:r>
      <w:r w:rsidRPr="006B2FFB">
        <w:rPr>
          <w:color w:val="000000" w:themeColor="text1"/>
          <w:sz w:val="25"/>
          <w:szCs w:val="25"/>
          <w:shd w:val="clear" w:color="auto" w:fill="FFFFFF"/>
        </w:rPr>
        <w:t xml:space="preserve"> року № </w:t>
      </w:r>
      <w:r w:rsidR="00B3760A" w:rsidRPr="006B2FFB">
        <w:rPr>
          <w:color w:val="000000" w:themeColor="text1"/>
          <w:sz w:val="25"/>
          <w:szCs w:val="25"/>
          <w:shd w:val="clear" w:color="auto" w:fill="FFFFFF"/>
        </w:rPr>
        <w:t>342</w:t>
      </w:r>
      <w:r w:rsidRPr="006B2FFB">
        <w:rPr>
          <w:color w:val="000000" w:themeColor="text1"/>
          <w:sz w:val="25"/>
          <w:szCs w:val="25"/>
          <w:shd w:val="clear" w:color="auto" w:fill="FFFFFF"/>
        </w:rPr>
        <w:t>/</w:t>
      </w:r>
      <w:r w:rsidR="00B3760A" w:rsidRPr="006B2FFB">
        <w:rPr>
          <w:color w:val="000000" w:themeColor="text1"/>
          <w:sz w:val="25"/>
          <w:szCs w:val="25"/>
          <w:shd w:val="clear" w:color="auto" w:fill="FFFFFF"/>
        </w:rPr>
        <w:t>дс</w:t>
      </w:r>
      <w:r w:rsidRPr="006B2FFB">
        <w:rPr>
          <w:color w:val="000000" w:themeColor="text1"/>
          <w:sz w:val="25"/>
          <w:szCs w:val="25"/>
          <w:shd w:val="clear" w:color="auto" w:fill="FFFFFF"/>
        </w:rPr>
        <w:t xml:space="preserve">-23 </w:t>
      </w:r>
      <w:r w:rsidR="00B3760A" w:rsidRPr="006B2FFB">
        <w:rPr>
          <w:color w:val="000000" w:themeColor="text1"/>
          <w:sz w:val="25"/>
          <w:szCs w:val="25"/>
          <w:shd w:val="clear" w:color="auto" w:fill="FFFFFF"/>
        </w:rPr>
        <w:t xml:space="preserve">відмовлено у внесенні рекомендації Вищій раді правосуддя про призначення Цебрика Любомира Васильовича на посаду судді Біляївського районного суду Одеської області. </w:t>
      </w:r>
    </w:p>
    <w:p w:rsidR="00B3760A" w:rsidRPr="006B2FFB" w:rsidRDefault="00EC69C8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6B2FFB">
        <w:rPr>
          <w:color w:val="000000" w:themeColor="text1"/>
          <w:sz w:val="25"/>
          <w:szCs w:val="25"/>
          <w:shd w:val="clear" w:color="auto" w:fill="FFFFFF"/>
        </w:rPr>
        <w:t xml:space="preserve">Вказане рішення Комісії було оскаржено </w:t>
      </w:r>
      <w:r w:rsidR="00956575" w:rsidRPr="006B2FFB">
        <w:rPr>
          <w:color w:val="000000" w:themeColor="text1"/>
          <w:sz w:val="25"/>
          <w:szCs w:val="25"/>
          <w:shd w:val="clear" w:color="auto" w:fill="FFFFFF"/>
        </w:rPr>
        <w:t>в судовому порядку</w:t>
      </w:r>
      <w:r w:rsidRPr="006B2FFB">
        <w:rPr>
          <w:color w:val="000000" w:themeColor="text1"/>
          <w:sz w:val="25"/>
          <w:szCs w:val="25"/>
          <w:shd w:val="clear" w:color="auto" w:fill="FFFFFF"/>
        </w:rPr>
        <w:t xml:space="preserve">. Рішенням Верховного суду від 29 травня 2025 року </w:t>
      </w:r>
      <w:r w:rsidR="005823E7" w:rsidRPr="006B2FFB">
        <w:rPr>
          <w:color w:val="000000"/>
          <w:sz w:val="25"/>
          <w:szCs w:val="25"/>
        </w:rPr>
        <w:t xml:space="preserve">в </w:t>
      </w:r>
      <w:r w:rsidRPr="006B2FFB">
        <w:rPr>
          <w:color w:val="000000"/>
          <w:sz w:val="25"/>
          <w:szCs w:val="25"/>
        </w:rPr>
        <w:t xml:space="preserve">задоволенні адміністративного позову </w:t>
      </w:r>
      <w:r w:rsidR="003B7D63" w:rsidRPr="006B2FFB">
        <w:rPr>
          <w:color w:val="000000"/>
          <w:sz w:val="25"/>
          <w:szCs w:val="25"/>
        </w:rPr>
        <w:br/>
      </w:r>
      <w:r w:rsidRPr="006B2FFB">
        <w:rPr>
          <w:color w:val="000000"/>
          <w:sz w:val="25"/>
          <w:szCs w:val="25"/>
        </w:rPr>
        <w:t>Цебрика Л.В. до Вищої кваліфікаційної комісії суддів України про визнання протиправним та скасування рішення, зобов</w:t>
      </w:r>
      <w:r w:rsidR="005823E7" w:rsidRPr="006B2FFB">
        <w:rPr>
          <w:color w:val="000000"/>
          <w:sz w:val="25"/>
          <w:szCs w:val="25"/>
        </w:rPr>
        <w:t>’</w:t>
      </w:r>
      <w:r w:rsidRPr="006B2FFB">
        <w:rPr>
          <w:color w:val="000000"/>
          <w:sz w:val="25"/>
          <w:szCs w:val="25"/>
        </w:rPr>
        <w:t>язання вчинити певні дії відмовити повністю.</w:t>
      </w:r>
    </w:p>
    <w:p w:rsidR="00B3457A" w:rsidRPr="006B2FFB" w:rsidRDefault="00B3457A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6B2FFB">
        <w:rPr>
          <w:color w:val="000000" w:themeColor="text1"/>
          <w:sz w:val="25"/>
          <w:szCs w:val="25"/>
          <w:shd w:val="clear" w:color="auto" w:fill="FFFFFF"/>
        </w:rPr>
        <w:t>Апеляційний перегляд вказаного рішення Великою Палатою Верховного суду на час розгляду заяви Цебрика Л.В. триває.</w:t>
      </w:r>
    </w:p>
    <w:p w:rsidR="0003451F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 xml:space="preserve">Комісія зауважує, що питання встановлення безсторонності члена колегіального органу врегульовано законодавством недостатньо детально. Утім, особливості </w:t>
      </w:r>
      <w:r w:rsidRPr="006B2FFB">
        <w:rPr>
          <w:color w:val="000000" w:themeColor="text1"/>
          <w:sz w:val="25"/>
          <w:szCs w:val="25"/>
        </w:rPr>
        <w:lastRenderedPageBreak/>
        <w:t>застосування такої підстави для відводу унормовані законодавством, яке регулює судові процедури, а також детально окреслені в судовій практиці.</w:t>
      </w:r>
    </w:p>
    <w:p w:rsidR="0003451F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>Основні критерії оцінки неупередженості прослідковуються у практиці Європейського суду з прав людини</w:t>
      </w:r>
      <w:r w:rsidR="005823E7" w:rsidRPr="006B2FFB">
        <w:rPr>
          <w:color w:val="000000" w:themeColor="text1"/>
          <w:sz w:val="25"/>
          <w:szCs w:val="25"/>
        </w:rPr>
        <w:t xml:space="preserve"> (далі – ЄСПЛ)</w:t>
      </w:r>
      <w:r w:rsidRPr="006B2FFB">
        <w:rPr>
          <w:color w:val="000000" w:themeColor="text1"/>
          <w:sz w:val="25"/>
          <w:szCs w:val="25"/>
        </w:rPr>
        <w:t>.</w:t>
      </w:r>
    </w:p>
    <w:p w:rsidR="00236160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 xml:space="preserve">У рішенні від 01 жовтня 1982 року у справі </w:t>
      </w:r>
      <w:proofErr w:type="spellStart"/>
      <w:r w:rsidRPr="006B2FFB">
        <w:rPr>
          <w:color w:val="000000" w:themeColor="text1"/>
          <w:sz w:val="25"/>
          <w:szCs w:val="25"/>
        </w:rPr>
        <w:t>П’єрсак</w:t>
      </w:r>
      <w:proofErr w:type="spellEnd"/>
      <w:r w:rsidRPr="006B2FFB">
        <w:rPr>
          <w:color w:val="000000" w:themeColor="text1"/>
          <w:sz w:val="25"/>
          <w:szCs w:val="25"/>
        </w:rPr>
        <w:t xml:space="preserve"> проти Бельгії (</w:t>
      </w:r>
      <w:proofErr w:type="spellStart"/>
      <w:r w:rsidRPr="006B2FFB">
        <w:rPr>
          <w:color w:val="000000" w:themeColor="text1"/>
          <w:sz w:val="25"/>
          <w:szCs w:val="25"/>
        </w:rPr>
        <w:t>Piersack</w:t>
      </w:r>
      <w:proofErr w:type="spellEnd"/>
      <w:r w:rsidRPr="006B2FFB">
        <w:rPr>
          <w:color w:val="000000" w:themeColor="text1"/>
          <w:sz w:val="25"/>
          <w:szCs w:val="25"/>
        </w:rPr>
        <w:t xml:space="preserve"> v.</w:t>
      </w:r>
      <w:r w:rsidR="005823E7" w:rsidRPr="006B2FFB">
        <w:rPr>
          <w:color w:val="000000" w:themeColor="text1"/>
          <w:sz w:val="25"/>
          <w:szCs w:val="25"/>
          <w:lang w:val="en-US"/>
        </w:rPr>
        <w:t>s.</w:t>
      </w:r>
      <w:r w:rsidRPr="006B2FFB">
        <w:rPr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color w:val="000000" w:themeColor="text1"/>
          <w:sz w:val="25"/>
          <w:szCs w:val="25"/>
        </w:rPr>
        <w:t>Belgium</w:t>
      </w:r>
      <w:proofErr w:type="spellEnd"/>
      <w:r w:rsidRPr="006B2FFB">
        <w:rPr>
          <w:color w:val="000000" w:themeColor="text1"/>
          <w:sz w:val="25"/>
          <w:szCs w:val="25"/>
        </w:rPr>
        <w:t xml:space="preserve">) суд визначив два критерії неупередженості (безсторонності): суб’єктивний – беруться до уваги особисті переконання та поведінка окремого судді, тобто, чи виявляв суддя упередженість або безсторонність у </w:t>
      </w:r>
      <w:r w:rsidR="008B02B1" w:rsidRPr="006B2FFB">
        <w:rPr>
          <w:color w:val="000000" w:themeColor="text1"/>
          <w:sz w:val="25"/>
          <w:szCs w:val="25"/>
        </w:rPr>
        <w:t>цій</w:t>
      </w:r>
      <w:r w:rsidRPr="006B2FFB">
        <w:rPr>
          <w:color w:val="000000" w:themeColor="text1"/>
          <w:sz w:val="25"/>
          <w:szCs w:val="25"/>
        </w:rPr>
        <w:t xml:space="preserve">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зазначає: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цьому контексті можна розмежувати суб’єктивний підхід, що відображає особисті переконання конкретного судді в конкретній справі та об’єктивний підхід, який визначає, чи були достатні гарантії, щоб виключити будь-який сумнів із цього питання.</w:t>
      </w:r>
    </w:p>
    <w:p w:rsidR="0003451F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>Наведені положення набули статусу засадничих і знайшли свій розвиток в інших рішеннях ЄСПЛ.</w:t>
      </w:r>
    </w:p>
    <w:p w:rsidR="0003451F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 xml:space="preserve">Зокрема, у рішенні у справі </w:t>
      </w:r>
      <w:proofErr w:type="spellStart"/>
      <w:r w:rsidRPr="006B2FFB">
        <w:rPr>
          <w:color w:val="000000" w:themeColor="text1"/>
          <w:sz w:val="25"/>
          <w:szCs w:val="25"/>
        </w:rPr>
        <w:t>Ветштайн</w:t>
      </w:r>
      <w:proofErr w:type="spellEnd"/>
      <w:r w:rsidRPr="006B2FFB">
        <w:rPr>
          <w:color w:val="000000" w:themeColor="text1"/>
          <w:sz w:val="25"/>
          <w:szCs w:val="25"/>
        </w:rPr>
        <w:t xml:space="preserve"> проти Швейцарії (</w:t>
      </w:r>
      <w:proofErr w:type="spellStart"/>
      <w:r w:rsidRPr="006B2FFB">
        <w:rPr>
          <w:color w:val="000000" w:themeColor="text1"/>
          <w:sz w:val="25"/>
          <w:szCs w:val="25"/>
        </w:rPr>
        <w:t>Wettstein</w:t>
      </w:r>
      <w:proofErr w:type="spellEnd"/>
      <w:r w:rsidRPr="006B2FFB">
        <w:rPr>
          <w:color w:val="000000" w:themeColor="text1"/>
          <w:sz w:val="25"/>
          <w:szCs w:val="25"/>
        </w:rPr>
        <w:t xml:space="preserve"> v.</w:t>
      </w:r>
      <w:r w:rsidR="00BF4D4E" w:rsidRPr="006B2FFB">
        <w:rPr>
          <w:color w:val="000000" w:themeColor="text1"/>
          <w:sz w:val="25"/>
          <w:szCs w:val="25"/>
          <w:lang w:val="en-US"/>
        </w:rPr>
        <w:t>s.</w:t>
      </w:r>
      <w:r w:rsidRPr="006B2FFB">
        <w:rPr>
          <w:color w:val="000000" w:themeColor="text1"/>
          <w:sz w:val="25"/>
          <w:szCs w:val="25"/>
        </w:rPr>
        <w:t xml:space="preserve"> </w:t>
      </w:r>
      <w:proofErr w:type="spellStart"/>
      <w:r w:rsidRPr="006B2FFB">
        <w:rPr>
          <w:color w:val="000000" w:themeColor="text1"/>
          <w:sz w:val="25"/>
          <w:szCs w:val="25"/>
        </w:rPr>
        <w:t>Switzerland</w:t>
      </w:r>
      <w:proofErr w:type="spellEnd"/>
      <w:r w:rsidRPr="006B2FFB">
        <w:rPr>
          <w:color w:val="000000" w:themeColor="text1"/>
          <w:sz w:val="25"/>
          <w:szCs w:val="25"/>
        </w:rPr>
        <w:t xml:space="preserve">) </w:t>
      </w:r>
      <w:r w:rsidR="008B02B1" w:rsidRPr="006B2FFB">
        <w:rPr>
          <w:color w:val="000000" w:themeColor="text1"/>
          <w:sz w:val="25"/>
          <w:szCs w:val="25"/>
        </w:rPr>
        <w:t xml:space="preserve">від </w:t>
      </w:r>
      <w:r w:rsidRPr="006B2FFB">
        <w:rPr>
          <w:color w:val="000000" w:themeColor="text1"/>
          <w:sz w:val="25"/>
          <w:szCs w:val="25"/>
        </w:rPr>
        <w:t>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</w:t>
      </w:r>
      <w:r w:rsidR="008B02B1" w:rsidRPr="006B2FFB">
        <w:rPr>
          <w:color w:val="000000" w:themeColor="text1"/>
          <w:sz w:val="25"/>
          <w:szCs w:val="25"/>
        </w:rPr>
        <w:t>е не вирішальною. Вирішальним</w:t>
      </w:r>
      <w:r w:rsidRPr="006B2FFB">
        <w:rPr>
          <w:color w:val="000000" w:themeColor="text1"/>
          <w:sz w:val="25"/>
          <w:szCs w:val="25"/>
        </w:rPr>
        <w:t xml:space="preserve"> є те, чи можна вважати такі побоювання об’єктивно обґрунтованими. У цьому ж рішенні суд вказує, що в контексті суб’єктивного критерію особиста безсторонність судді </w:t>
      </w:r>
      <w:proofErr w:type="spellStart"/>
      <w:r w:rsidRPr="006B2FFB">
        <w:rPr>
          <w:color w:val="000000" w:themeColor="text1"/>
          <w:sz w:val="25"/>
          <w:szCs w:val="25"/>
        </w:rPr>
        <w:t>презюмується</w:t>
      </w:r>
      <w:proofErr w:type="spellEnd"/>
      <w:r w:rsidRPr="006B2FFB">
        <w:rPr>
          <w:color w:val="000000" w:themeColor="text1"/>
          <w:sz w:val="25"/>
          <w:szCs w:val="25"/>
        </w:rPr>
        <w:t>, поки не доведено протилежного.</w:t>
      </w:r>
    </w:p>
    <w:p w:rsidR="0003451F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>У процесуальних законах діє загальний підхід до того, що незгода сторони з процесуальними рішеннями судді, рішення або окрема думка судді в інших справах, висловлена публічно, думка судді щодо того чи іншого юридичного питання не може бути підставою для відводу.</w:t>
      </w:r>
    </w:p>
    <w:p w:rsidR="0003451F" w:rsidRPr="006B2FFB" w:rsidRDefault="00B3457A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6B2FFB">
        <w:rPr>
          <w:sz w:val="25"/>
          <w:szCs w:val="25"/>
        </w:rPr>
        <w:t xml:space="preserve">Комісія зауважує, що доводи </w:t>
      </w:r>
      <w:r w:rsidR="00EC69C8" w:rsidRPr="006B2FFB">
        <w:rPr>
          <w:sz w:val="25"/>
          <w:szCs w:val="25"/>
        </w:rPr>
        <w:t>Цебрика Л.В.</w:t>
      </w:r>
      <w:r w:rsidR="00236160" w:rsidRPr="006B2FFB">
        <w:rPr>
          <w:sz w:val="25"/>
          <w:szCs w:val="25"/>
        </w:rPr>
        <w:t xml:space="preserve"> </w:t>
      </w:r>
      <w:r w:rsidR="0055694B" w:rsidRPr="006B2FFB">
        <w:rPr>
          <w:sz w:val="25"/>
          <w:szCs w:val="25"/>
        </w:rPr>
        <w:t xml:space="preserve">викладені в </w:t>
      </w:r>
      <w:r w:rsidRPr="006B2FFB">
        <w:rPr>
          <w:sz w:val="25"/>
          <w:szCs w:val="25"/>
        </w:rPr>
        <w:t>заяв</w:t>
      </w:r>
      <w:r w:rsidR="0055694B" w:rsidRPr="006B2FFB">
        <w:rPr>
          <w:sz w:val="25"/>
          <w:szCs w:val="25"/>
        </w:rPr>
        <w:t>і</w:t>
      </w:r>
      <w:r w:rsidRPr="006B2FFB">
        <w:rPr>
          <w:sz w:val="25"/>
          <w:szCs w:val="25"/>
        </w:rPr>
        <w:t xml:space="preserve"> </w:t>
      </w:r>
      <w:r w:rsidR="00236160" w:rsidRPr="006B2FFB">
        <w:rPr>
          <w:sz w:val="25"/>
          <w:szCs w:val="25"/>
        </w:rPr>
        <w:t>по</w:t>
      </w:r>
      <w:r w:rsidR="0003451F" w:rsidRPr="006B2FFB">
        <w:rPr>
          <w:sz w:val="25"/>
          <w:szCs w:val="25"/>
        </w:rPr>
        <w:t xml:space="preserve">в’язані з незгодою </w:t>
      </w:r>
      <w:r w:rsidR="00BF4D4E" w:rsidRPr="006B2FFB">
        <w:rPr>
          <w:sz w:val="25"/>
          <w:szCs w:val="25"/>
        </w:rPr>
        <w:t>щодо</w:t>
      </w:r>
      <w:r w:rsidR="0003451F" w:rsidRPr="006B2FFB">
        <w:rPr>
          <w:sz w:val="25"/>
          <w:szCs w:val="25"/>
        </w:rPr>
        <w:t xml:space="preserve"> рішен</w:t>
      </w:r>
      <w:r w:rsidR="00BF4D4E" w:rsidRPr="006B2FFB">
        <w:rPr>
          <w:sz w:val="25"/>
          <w:szCs w:val="25"/>
        </w:rPr>
        <w:t>ь</w:t>
      </w:r>
      <w:r w:rsidR="0003451F" w:rsidRPr="006B2FFB">
        <w:rPr>
          <w:sz w:val="25"/>
          <w:szCs w:val="25"/>
        </w:rPr>
        <w:t xml:space="preserve"> колегії Комісії </w:t>
      </w:r>
      <w:r w:rsidR="00236160" w:rsidRPr="006B2FFB">
        <w:rPr>
          <w:sz w:val="25"/>
          <w:szCs w:val="25"/>
        </w:rPr>
        <w:t xml:space="preserve">у </w:t>
      </w:r>
      <w:r w:rsidR="0003451F" w:rsidRPr="006B2FFB">
        <w:rPr>
          <w:sz w:val="25"/>
          <w:szCs w:val="25"/>
        </w:rPr>
        <w:t xml:space="preserve">вирішенні питань </w:t>
      </w:r>
      <w:r w:rsidR="00BF4D4E" w:rsidRPr="006B2FFB">
        <w:rPr>
          <w:sz w:val="25"/>
          <w:szCs w:val="25"/>
        </w:rPr>
        <w:t xml:space="preserve">стосовно </w:t>
      </w:r>
      <w:r w:rsidR="00EC69C8" w:rsidRPr="006B2FFB">
        <w:rPr>
          <w:sz w:val="25"/>
          <w:szCs w:val="25"/>
        </w:rPr>
        <w:t>внесення рекомендації Вищій раді правосуддя про призначення його на посаду судді першої інстанції</w:t>
      </w:r>
      <w:r w:rsidR="0003451F" w:rsidRPr="006B2FFB">
        <w:rPr>
          <w:sz w:val="25"/>
          <w:szCs w:val="25"/>
        </w:rPr>
        <w:t>.</w:t>
      </w:r>
    </w:p>
    <w:p w:rsidR="0055694B" w:rsidRPr="006B2FFB" w:rsidRDefault="0055694B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6B2FFB">
        <w:rPr>
          <w:sz w:val="25"/>
          <w:szCs w:val="25"/>
        </w:rPr>
        <w:t>Відповідно до частини 2 статті 6 Закону України «Про судоустрій і статус суддів»</w:t>
      </w:r>
      <w:r w:rsidR="00FF5575" w:rsidRPr="006B2FFB">
        <w:rPr>
          <w:sz w:val="25"/>
          <w:szCs w:val="25"/>
        </w:rPr>
        <w:t xml:space="preserve"> (далі - Закон)</w:t>
      </w:r>
      <w:r w:rsidRPr="006B2FFB">
        <w:rPr>
          <w:sz w:val="25"/>
          <w:szCs w:val="25"/>
        </w:rPr>
        <w:t xml:space="preserve"> суддя розглядає справи, одержанні згідно з порядком розподілу судових справ, установленим відповідно до закону. На розподіл судових справ між суддями не може впливати б</w:t>
      </w:r>
      <w:r w:rsidR="00FF5575" w:rsidRPr="006B2FFB">
        <w:rPr>
          <w:sz w:val="25"/>
          <w:szCs w:val="25"/>
        </w:rPr>
        <w:t>а</w:t>
      </w:r>
      <w:r w:rsidRPr="006B2FFB">
        <w:rPr>
          <w:sz w:val="25"/>
          <w:szCs w:val="25"/>
        </w:rPr>
        <w:t xml:space="preserve">жання судді чи будь-яких інших осіб. </w:t>
      </w:r>
    </w:p>
    <w:p w:rsidR="00FF5575" w:rsidRPr="006B2FFB" w:rsidRDefault="00FF5575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shd w:val="clear" w:color="auto" w:fill="FFFFFF"/>
        </w:rPr>
      </w:pPr>
      <w:r w:rsidRPr="006B2FFB">
        <w:rPr>
          <w:sz w:val="25"/>
          <w:szCs w:val="25"/>
        </w:rPr>
        <w:t xml:space="preserve">Згідно з частиною 9 ст. 94 Закону </w:t>
      </w:r>
      <w:r w:rsidRPr="006B2FFB">
        <w:rPr>
          <w:sz w:val="25"/>
          <w:szCs w:val="25"/>
          <w:shd w:val="clear" w:color="auto" w:fill="FFFFFF"/>
        </w:rPr>
        <w:t>члени Вищої кваліфікаційної комісії суддів України повинні у своїй діяльності та поза її межами дотримуватися найвищих стандартів етичної поведінки, у тому числі принципів та правил етики, які застосовуються до суддів.</w:t>
      </w:r>
    </w:p>
    <w:p w:rsidR="00FF5575" w:rsidRPr="006B2FFB" w:rsidRDefault="00FF5575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shd w:val="clear" w:color="auto" w:fill="FFFFFF"/>
        </w:rPr>
      </w:pPr>
      <w:r w:rsidRPr="006B2FFB">
        <w:rPr>
          <w:sz w:val="25"/>
          <w:szCs w:val="25"/>
          <w:shd w:val="clear" w:color="auto" w:fill="FFFFFF"/>
        </w:rPr>
        <w:t>У Кодексі етичної поведінки судді зазначено, що Суддя повинен здійснювати правосуддя незалежно, виходячи виключно з обставин, установлених під час розгляду справи, за своїм внутрішнім переконанням, керуючись верховенством права, що є гарантією справедливого розгляду справи в суді, незважаючи на будь-які зовнішні втручання, впливи, стимули, загрози або публічну критику.</w:t>
      </w:r>
    </w:p>
    <w:p w:rsidR="00FF5575" w:rsidRPr="006B2FFB" w:rsidRDefault="00FF5575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shd w:val="clear" w:color="auto" w:fill="FFFFFF"/>
        </w:rPr>
      </w:pPr>
      <w:r w:rsidRPr="006B2FFB">
        <w:rPr>
          <w:sz w:val="25"/>
          <w:szCs w:val="25"/>
          <w:shd w:val="clear" w:color="auto" w:fill="FFFFFF"/>
        </w:rPr>
        <w:t>Суддя має уникати конфлікту інтересів, проявляти стійкість до будь-якого тиску або втручання у діяльність, пов</w:t>
      </w:r>
      <w:r w:rsidR="006B2FFB" w:rsidRPr="006B2FFB">
        <w:rPr>
          <w:sz w:val="25"/>
          <w:szCs w:val="25"/>
          <w:shd w:val="clear" w:color="auto" w:fill="FFFFFF"/>
        </w:rPr>
        <w:t>’</w:t>
      </w:r>
      <w:r w:rsidRPr="006B2FFB">
        <w:rPr>
          <w:sz w:val="25"/>
          <w:szCs w:val="25"/>
          <w:shd w:val="clear" w:color="auto" w:fill="FFFFFF"/>
        </w:rPr>
        <w:t>язану зі здійсненням правосуддя, та бути незалежним у процесі прийняття рішень.</w:t>
      </w:r>
    </w:p>
    <w:p w:rsidR="00721651" w:rsidRPr="006B2FFB" w:rsidRDefault="00721651" w:rsidP="00307FB3">
      <w:pPr>
        <w:pStyle w:val="rteright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6B2FFB">
        <w:rPr>
          <w:rStyle w:val="ac"/>
          <w:b w:val="0"/>
          <w:sz w:val="25"/>
          <w:szCs w:val="25"/>
          <w:shd w:val="clear" w:color="auto" w:fill="FFFFFF"/>
        </w:rPr>
        <w:t xml:space="preserve">При прийнятті рішення Комісією ураховано положення п. 10 Єдиних показників для оцінки доброчесності та професійної етики судді затверджених </w:t>
      </w:r>
      <w:r w:rsidRPr="006B2FFB">
        <w:rPr>
          <w:rStyle w:val="ac"/>
          <w:b w:val="0"/>
          <w:sz w:val="25"/>
          <w:szCs w:val="25"/>
        </w:rPr>
        <w:t xml:space="preserve">Рішенням Вищої ради правосуддя від </w:t>
      </w:r>
      <w:r w:rsidRPr="006B2FFB">
        <w:rPr>
          <w:sz w:val="25"/>
          <w:szCs w:val="25"/>
        </w:rPr>
        <w:t xml:space="preserve">17 грудня 2024 року № 3659/0/15-24, відповідно до якого будь-який висновок чи оцінка національного або міжнародного органу: не є заздалегідь </w:t>
      </w:r>
      <w:r w:rsidRPr="006B2FFB">
        <w:rPr>
          <w:sz w:val="25"/>
          <w:szCs w:val="25"/>
        </w:rPr>
        <w:lastRenderedPageBreak/>
        <w:t>визначальним та обов’язковим для врахування під час оцінювання відповідності судді (кандидата на посаду судді) Показникам; не спростовує обґрунтованого сумніву у відповідності судді (кандидата на посаду судді) критеріям доброчесності та професійної етики.</w:t>
      </w:r>
    </w:p>
    <w:p w:rsidR="00721651" w:rsidRPr="006B2FFB" w:rsidRDefault="00721651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6B2FFB">
        <w:rPr>
          <w:sz w:val="25"/>
          <w:szCs w:val="25"/>
        </w:rPr>
        <w:t xml:space="preserve">З огляду на викладене, Комісія виснує, що участь її члена у оцінці відповідності </w:t>
      </w:r>
      <w:r w:rsidR="003B7D63" w:rsidRPr="006B2FFB">
        <w:rPr>
          <w:sz w:val="25"/>
          <w:szCs w:val="25"/>
        </w:rPr>
        <w:t>к</w:t>
      </w:r>
      <w:r w:rsidRPr="006B2FFB">
        <w:rPr>
          <w:sz w:val="25"/>
          <w:szCs w:val="25"/>
        </w:rPr>
        <w:t xml:space="preserve">андидата критеріям доброчесності та професійної етики в інших процедурах, оцінка відповідності </w:t>
      </w:r>
      <w:r w:rsidR="003B7D63" w:rsidRPr="006B2FFB">
        <w:rPr>
          <w:sz w:val="25"/>
          <w:szCs w:val="25"/>
        </w:rPr>
        <w:t>к</w:t>
      </w:r>
      <w:r w:rsidRPr="006B2FFB">
        <w:rPr>
          <w:sz w:val="25"/>
          <w:szCs w:val="25"/>
        </w:rPr>
        <w:t xml:space="preserve">андидата у складі </w:t>
      </w:r>
      <w:r w:rsidR="00EB2D2C" w:rsidRPr="006B2FFB">
        <w:rPr>
          <w:sz w:val="25"/>
          <w:szCs w:val="25"/>
        </w:rPr>
        <w:t>к</w:t>
      </w:r>
      <w:r w:rsidRPr="006B2FFB">
        <w:rPr>
          <w:sz w:val="25"/>
          <w:szCs w:val="25"/>
        </w:rPr>
        <w:t>олегії, не є обставинами, які самі по собі свідчать про упередженість чи необ’єктивність такого чле</w:t>
      </w:r>
      <w:r w:rsidR="0099064E" w:rsidRPr="006B2FFB">
        <w:rPr>
          <w:sz w:val="25"/>
          <w:szCs w:val="25"/>
        </w:rPr>
        <w:t>н</w:t>
      </w:r>
      <w:r w:rsidRPr="006B2FFB">
        <w:rPr>
          <w:sz w:val="25"/>
          <w:szCs w:val="25"/>
        </w:rPr>
        <w:t>а Комісії.</w:t>
      </w:r>
    </w:p>
    <w:p w:rsidR="00236160" w:rsidRPr="006B2FFB" w:rsidRDefault="00236160" w:rsidP="00307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6B2FFB">
        <w:rPr>
          <w:color w:val="000000" w:themeColor="text1"/>
          <w:sz w:val="25"/>
          <w:szCs w:val="25"/>
        </w:rPr>
        <w:t xml:space="preserve">Отже, за результатом розгляду заяви </w:t>
      </w:r>
      <w:r w:rsidR="00EC69C8" w:rsidRPr="006B2FFB">
        <w:rPr>
          <w:color w:val="000000" w:themeColor="text1"/>
          <w:sz w:val="25"/>
          <w:szCs w:val="25"/>
        </w:rPr>
        <w:t>Цебрика Л.В.</w:t>
      </w:r>
      <w:r w:rsidR="00C9314E" w:rsidRPr="006B2FFB">
        <w:rPr>
          <w:color w:val="000000" w:themeColor="text1"/>
          <w:sz w:val="25"/>
          <w:szCs w:val="25"/>
        </w:rPr>
        <w:t xml:space="preserve"> про відвід члена </w:t>
      </w:r>
      <w:r w:rsidR="00B05FAE" w:rsidRPr="006B2FFB">
        <w:rPr>
          <w:bCs/>
          <w:color w:val="000000" w:themeColor="text1"/>
          <w:sz w:val="25"/>
          <w:szCs w:val="25"/>
        </w:rPr>
        <w:t xml:space="preserve">колегії Комісії </w:t>
      </w:r>
      <w:r w:rsidR="00002405" w:rsidRPr="006B2FFB">
        <w:rPr>
          <w:bCs/>
          <w:color w:val="000000" w:themeColor="text1"/>
          <w:sz w:val="25"/>
          <w:szCs w:val="25"/>
        </w:rPr>
        <w:t>Пасічника А.В</w:t>
      </w:r>
      <w:r w:rsidR="0021211A" w:rsidRPr="006B2FFB">
        <w:rPr>
          <w:bCs/>
          <w:color w:val="000000" w:themeColor="text1"/>
          <w:sz w:val="25"/>
          <w:szCs w:val="25"/>
        </w:rPr>
        <w:t>.</w:t>
      </w:r>
      <w:r w:rsidR="00C9314E" w:rsidRPr="006B2FFB">
        <w:rPr>
          <w:bCs/>
          <w:color w:val="000000" w:themeColor="text1"/>
          <w:sz w:val="25"/>
          <w:szCs w:val="25"/>
        </w:rPr>
        <w:t>,</w:t>
      </w:r>
      <w:r w:rsidR="00B05FAE" w:rsidRPr="006B2FFB">
        <w:rPr>
          <w:bCs/>
          <w:color w:val="000000" w:themeColor="text1"/>
          <w:sz w:val="25"/>
          <w:szCs w:val="25"/>
        </w:rPr>
        <w:t xml:space="preserve"> </w:t>
      </w:r>
      <w:r w:rsidRPr="006B2FFB">
        <w:rPr>
          <w:color w:val="000000" w:themeColor="text1"/>
          <w:sz w:val="25"/>
          <w:szCs w:val="25"/>
        </w:rPr>
        <w:t xml:space="preserve">Комісія дійшла висновку про відсутність підстав для </w:t>
      </w:r>
      <w:r w:rsidR="0021211A" w:rsidRPr="006B2FFB">
        <w:rPr>
          <w:color w:val="000000" w:themeColor="text1"/>
          <w:sz w:val="25"/>
          <w:szCs w:val="25"/>
        </w:rPr>
        <w:t xml:space="preserve">його </w:t>
      </w:r>
      <w:r w:rsidRPr="006B2FFB">
        <w:rPr>
          <w:color w:val="000000" w:themeColor="text1"/>
          <w:sz w:val="25"/>
          <w:szCs w:val="25"/>
        </w:rPr>
        <w:t>задоволення.</w:t>
      </w:r>
    </w:p>
    <w:p w:rsidR="006B6DD1" w:rsidRPr="006B2FFB" w:rsidRDefault="006B6DD1" w:rsidP="006B6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21211A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ДВАНАДЦЯТЬМА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голосами «ЗА» та </w:t>
      </w:r>
      <w:r w:rsidR="0021211A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ДВОМА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голос</w:t>
      </w:r>
      <w:r w:rsidR="00C9314E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м</w:t>
      </w:r>
      <w:r w:rsidR="00C9314E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и</w:t>
      </w: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«ПРОТИ»</w:t>
      </w:r>
      <w:r w:rsidR="0003451F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</w:p>
    <w:p w:rsidR="006B6DD1" w:rsidRPr="006B2FFB" w:rsidRDefault="006B6DD1" w:rsidP="006B6D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вирішила:</w:t>
      </w:r>
    </w:p>
    <w:p w:rsidR="006B6DD1" w:rsidRPr="006B2FFB" w:rsidRDefault="006B6DD1" w:rsidP="006B6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</w:p>
    <w:p w:rsidR="006B6DD1" w:rsidRPr="006B2FFB" w:rsidRDefault="006B6DD1" w:rsidP="00C9314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</w:pPr>
      <w:r w:rsidRPr="006B2FFB">
        <w:rPr>
          <w:rFonts w:ascii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відмовити в задоволенні заяви </w:t>
      </w:r>
      <w:r w:rsidR="0021211A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Цебрика Любомира Васильовича</w:t>
      </w:r>
      <w:r w:rsidR="0003451F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про відвід </w:t>
      </w:r>
      <w:r w:rsidR="00C9314E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член</w:t>
      </w:r>
      <w:r w:rsidR="00E254D2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а</w:t>
      </w:r>
      <w:r w:rsidR="0003451F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Вищої кваліфікаційної комісії суддів України </w:t>
      </w:r>
      <w:r w:rsidR="00002405" w:rsidRPr="006B2FFB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Пасічника Андрія Володимировича</w:t>
      </w:r>
      <w:r w:rsidR="00C9314E" w:rsidRPr="006B2FFB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.</w:t>
      </w:r>
      <w:r w:rsidR="00FC1BDA" w:rsidRPr="006B2FFB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</w:p>
    <w:p w:rsidR="00FC1BDA" w:rsidRPr="00893D65" w:rsidRDefault="00FC1BDA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156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87DDE" w:rsidRPr="00893D65" w:rsidRDefault="006B6DD1" w:rsidP="00987DD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987DD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Олег КОЛІУШ</w:t>
      </w:r>
      <w:r w:rsidR="00987D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   </w:t>
      </w:r>
      <w:r w:rsidR="00987DD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893D65" w:rsidRDefault="006B6DD1" w:rsidP="006B6DD1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Default="006B6DD1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Михайло БОГОНІС</w:t>
      </w:r>
      <w:r w:rsidR="00987D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</w:t>
      </w:r>
      <w:r w:rsidR="00C9314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987DDE" w:rsidRDefault="00987DDE" w:rsidP="00987DDE">
      <w:pPr>
        <w:shd w:val="clear" w:color="auto" w:fill="FFFFFF"/>
        <w:suppressAutoHyphens/>
        <w:spacing w:after="0" w:line="48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Віталій ГАЦЕЛЮК  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6B6DD1" w:rsidRPr="00893D65" w:rsidRDefault="006B6DD1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Ярослав ДУХ </w:t>
      </w:r>
      <w:r w:rsidR="00987D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 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6B6DD1" w:rsidRPr="00893D65" w:rsidRDefault="00C9314E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КИДИСЮК</w:t>
      </w:r>
      <w:r w:rsidR="00987D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987DD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987DDE" w:rsidRPr="00893D65" w:rsidRDefault="00987DDE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Надія КОБЕЦЬКА  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987DDE" w:rsidRDefault="00987DDE" w:rsidP="00987DDE">
      <w:pPr>
        <w:shd w:val="clear" w:color="auto" w:fill="FFFFFF"/>
        <w:suppressAutoHyphens/>
        <w:spacing w:after="0" w:line="48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Ігор КУШНІР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6B6DD1" w:rsidRPr="00893D65" w:rsidRDefault="006B6DD1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Володимир ЛУГАНСЬКИЙ</w:t>
      </w:r>
      <w:r w:rsidR="00987D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Default="006B6DD1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Руслан МЕЛЬНИК </w:t>
      </w:r>
      <w:r w:rsidR="00987D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A7610D" w:rsidRPr="00893D65" w:rsidRDefault="00A7610D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0024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Олексій ОМЕЛЬЯН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«ПРОТИ»</w:t>
      </w:r>
    </w:p>
    <w:p w:rsidR="006B6DD1" w:rsidRPr="00893D65" w:rsidRDefault="00C9314E" w:rsidP="00987DDE">
      <w:pPr>
        <w:tabs>
          <w:tab w:val="left" w:pos="993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САБОДАШ «ПРОТИ»</w:t>
      </w:r>
    </w:p>
    <w:p w:rsidR="00DD51AF" w:rsidRPr="00893D65" w:rsidRDefault="006B6DD1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Руслан СИДОРОВИЧ </w:t>
      </w:r>
      <w:r w:rsidR="00987DD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DD51AF" w:rsidRPr="00893D65" w:rsidRDefault="00DD51AF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  <w:r w:rsidR="00C9314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893D65" w:rsidRDefault="006B6DD1" w:rsidP="00987DDE">
      <w:pPr>
        <w:shd w:val="clear" w:color="auto" w:fill="FFFFFF"/>
        <w:suppressAutoHyphens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 «ЗА»</w:t>
      </w:r>
    </w:p>
    <w:p w:rsidR="00236160" w:rsidRPr="00B05FAE" w:rsidRDefault="00236160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sectPr w:rsidR="00236160" w:rsidRPr="00B05FAE" w:rsidSect="00321B1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2DB9" w:rsidRDefault="00222DB9" w:rsidP="005F2A2E">
      <w:pPr>
        <w:spacing w:after="0" w:line="240" w:lineRule="auto"/>
      </w:pPr>
      <w:r>
        <w:separator/>
      </w:r>
    </w:p>
  </w:endnote>
  <w:endnote w:type="continuationSeparator" w:id="0">
    <w:p w:rsidR="00222DB9" w:rsidRDefault="00222DB9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2DB9" w:rsidRDefault="00222DB9" w:rsidP="005F2A2E">
      <w:pPr>
        <w:spacing w:after="0" w:line="240" w:lineRule="auto"/>
      </w:pPr>
      <w:r>
        <w:separator/>
      </w:r>
    </w:p>
  </w:footnote>
  <w:footnote w:type="continuationSeparator" w:id="0">
    <w:p w:rsidR="00222DB9" w:rsidRDefault="00222DB9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47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2136" w:rsidRPr="005823E7" w:rsidRDefault="00AE2136">
        <w:pPr>
          <w:pStyle w:val="a7"/>
          <w:jc w:val="center"/>
          <w:rPr>
            <w:rFonts w:ascii="Times New Roman" w:hAnsi="Times New Roman" w:cs="Times New Roman"/>
          </w:rPr>
        </w:pPr>
        <w:r w:rsidRPr="005823E7">
          <w:rPr>
            <w:rFonts w:ascii="Times New Roman" w:hAnsi="Times New Roman" w:cs="Times New Roman"/>
          </w:rPr>
          <w:fldChar w:fldCharType="begin"/>
        </w:r>
        <w:r w:rsidRPr="005823E7">
          <w:rPr>
            <w:rFonts w:ascii="Times New Roman" w:hAnsi="Times New Roman" w:cs="Times New Roman"/>
          </w:rPr>
          <w:instrText>PAGE   \* MERGEFORMAT</w:instrText>
        </w:r>
        <w:r w:rsidRPr="005823E7">
          <w:rPr>
            <w:rFonts w:ascii="Times New Roman" w:hAnsi="Times New Roman" w:cs="Times New Roman"/>
          </w:rPr>
          <w:fldChar w:fldCharType="separate"/>
        </w:r>
        <w:r w:rsidR="00893D65" w:rsidRPr="005823E7">
          <w:rPr>
            <w:rFonts w:ascii="Times New Roman" w:hAnsi="Times New Roman" w:cs="Times New Roman"/>
            <w:noProof/>
          </w:rPr>
          <w:t>4</w:t>
        </w:r>
        <w:r w:rsidRPr="005823E7">
          <w:rPr>
            <w:rFonts w:ascii="Times New Roman" w:hAnsi="Times New Roman" w:cs="Times New Roman"/>
          </w:rP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2405"/>
    <w:rsid w:val="00004062"/>
    <w:rsid w:val="00004259"/>
    <w:rsid w:val="00006EB7"/>
    <w:rsid w:val="00013AC5"/>
    <w:rsid w:val="000172BA"/>
    <w:rsid w:val="000220C4"/>
    <w:rsid w:val="0002371E"/>
    <w:rsid w:val="00024E2B"/>
    <w:rsid w:val="00027ACA"/>
    <w:rsid w:val="00030FCE"/>
    <w:rsid w:val="0003451F"/>
    <w:rsid w:val="00036B74"/>
    <w:rsid w:val="000378D6"/>
    <w:rsid w:val="00042CFE"/>
    <w:rsid w:val="00051035"/>
    <w:rsid w:val="0005578A"/>
    <w:rsid w:val="000561E4"/>
    <w:rsid w:val="00060A1A"/>
    <w:rsid w:val="000651F3"/>
    <w:rsid w:val="00067532"/>
    <w:rsid w:val="00067C98"/>
    <w:rsid w:val="00076914"/>
    <w:rsid w:val="00086F3E"/>
    <w:rsid w:val="000916E4"/>
    <w:rsid w:val="00091D22"/>
    <w:rsid w:val="00095EF2"/>
    <w:rsid w:val="000A741B"/>
    <w:rsid w:val="000B053C"/>
    <w:rsid w:val="000B0955"/>
    <w:rsid w:val="000B3B76"/>
    <w:rsid w:val="000B3F1F"/>
    <w:rsid w:val="000B4B1D"/>
    <w:rsid w:val="000B767D"/>
    <w:rsid w:val="000C1605"/>
    <w:rsid w:val="000C16A8"/>
    <w:rsid w:val="000D0327"/>
    <w:rsid w:val="000D1E1D"/>
    <w:rsid w:val="000D2597"/>
    <w:rsid w:val="000D47BF"/>
    <w:rsid w:val="000E3C97"/>
    <w:rsid w:val="000F3F72"/>
    <w:rsid w:val="001243AD"/>
    <w:rsid w:val="00137594"/>
    <w:rsid w:val="00145484"/>
    <w:rsid w:val="0015738E"/>
    <w:rsid w:val="001606F9"/>
    <w:rsid w:val="0016450D"/>
    <w:rsid w:val="00165935"/>
    <w:rsid w:val="0016792C"/>
    <w:rsid w:val="0017765E"/>
    <w:rsid w:val="001804DC"/>
    <w:rsid w:val="0018613A"/>
    <w:rsid w:val="00187702"/>
    <w:rsid w:val="001966D9"/>
    <w:rsid w:val="001A2F46"/>
    <w:rsid w:val="001A7FC9"/>
    <w:rsid w:val="001B3CC6"/>
    <w:rsid w:val="001B5F4F"/>
    <w:rsid w:val="001C61C3"/>
    <w:rsid w:val="001D5E2F"/>
    <w:rsid w:val="001D624D"/>
    <w:rsid w:val="001E5060"/>
    <w:rsid w:val="001F4D7C"/>
    <w:rsid w:val="001F7CAC"/>
    <w:rsid w:val="002059CB"/>
    <w:rsid w:val="00205C35"/>
    <w:rsid w:val="0021211A"/>
    <w:rsid w:val="00222DB9"/>
    <w:rsid w:val="0022360A"/>
    <w:rsid w:val="002347D1"/>
    <w:rsid w:val="00236160"/>
    <w:rsid w:val="00244282"/>
    <w:rsid w:val="00252BB0"/>
    <w:rsid w:val="00276A6D"/>
    <w:rsid w:val="002805DE"/>
    <w:rsid w:val="00280A16"/>
    <w:rsid w:val="0028501F"/>
    <w:rsid w:val="00293036"/>
    <w:rsid w:val="002A4EFF"/>
    <w:rsid w:val="002A62B8"/>
    <w:rsid w:val="002B28E2"/>
    <w:rsid w:val="002B4C49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32FF"/>
    <w:rsid w:val="00305C16"/>
    <w:rsid w:val="00307FB3"/>
    <w:rsid w:val="00310B80"/>
    <w:rsid w:val="00315F5A"/>
    <w:rsid w:val="00320466"/>
    <w:rsid w:val="00321249"/>
    <w:rsid w:val="00321B15"/>
    <w:rsid w:val="00332AEE"/>
    <w:rsid w:val="0033575B"/>
    <w:rsid w:val="00337ACE"/>
    <w:rsid w:val="0035410B"/>
    <w:rsid w:val="00354464"/>
    <w:rsid w:val="0035462F"/>
    <w:rsid w:val="0035578F"/>
    <w:rsid w:val="00363F75"/>
    <w:rsid w:val="003706AE"/>
    <w:rsid w:val="0037378F"/>
    <w:rsid w:val="0038035D"/>
    <w:rsid w:val="00381881"/>
    <w:rsid w:val="00382009"/>
    <w:rsid w:val="003872BE"/>
    <w:rsid w:val="00390B8B"/>
    <w:rsid w:val="00395597"/>
    <w:rsid w:val="003965F2"/>
    <w:rsid w:val="003B4898"/>
    <w:rsid w:val="003B7982"/>
    <w:rsid w:val="003B7D63"/>
    <w:rsid w:val="003C54C3"/>
    <w:rsid w:val="003D7D9A"/>
    <w:rsid w:val="003E0EAB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1EB5"/>
    <w:rsid w:val="00435035"/>
    <w:rsid w:val="00444D58"/>
    <w:rsid w:val="00446801"/>
    <w:rsid w:val="00451300"/>
    <w:rsid w:val="0045495B"/>
    <w:rsid w:val="00457AC6"/>
    <w:rsid w:val="00460CD1"/>
    <w:rsid w:val="00460CD8"/>
    <w:rsid w:val="004611A3"/>
    <w:rsid w:val="004635E1"/>
    <w:rsid w:val="004645FC"/>
    <w:rsid w:val="004714C4"/>
    <w:rsid w:val="0047348D"/>
    <w:rsid w:val="00474A45"/>
    <w:rsid w:val="00486FBD"/>
    <w:rsid w:val="004906EA"/>
    <w:rsid w:val="00492941"/>
    <w:rsid w:val="004938AC"/>
    <w:rsid w:val="00494FC7"/>
    <w:rsid w:val="00496AF8"/>
    <w:rsid w:val="004A4497"/>
    <w:rsid w:val="004A53AC"/>
    <w:rsid w:val="004A6BBE"/>
    <w:rsid w:val="004B1D27"/>
    <w:rsid w:val="004B6C25"/>
    <w:rsid w:val="004C2573"/>
    <w:rsid w:val="004C30A9"/>
    <w:rsid w:val="004C46EC"/>
    <w:rsid w:val="004C677B"/>
    <w:rsid w:val="004D1794"/>
    <w:rsid w:val="004D4430"/>
    <w:rsid w:val="004D6BB3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3695"/>
    <w:rsid w:val="005244DB"/>
    <w:rsid w:val="005252DC"/>
    <w:rsid w:val="005263C2"/>
    <w:rsid w:val="00527377"/>
    <w:rsid w:val="00532C02"/>
    <w:rsid w:val="00541333"/>
    <w:rsid w:val="00542BFA"/>
    <w:rsid w:val="00546254"/>
    <w:rsid w:val="00554D8D"/>
    <w:rsid w:val="0055694B"/>
    <w:rsid w:val="005646D9"/>
    <w:rsid w:val="00572E5C"/>
    <w:rsid w:val="005823E7"/>
    <w:rsid w:val="005857FD"/>
    <w:rsid w:val="005955A8"/>
    <w:rsid w:val="005979C7"/>
    <w:rsid w:val="005A310A"/>
    <w:rsid w:val="005B26ED"/>
    <w:rsid w:val="005B2DA5"/>
    <w:rsid w:val="005C5307"/>
    <w:rsid w:val="005C7087"/>
    <w:rsid w:val="005D1E96"/>
    <w:rsid w:val="005E067A"/>
    <w:rsid w:val="005E7923"/>
    <w:rsid w:val="005F146F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56FB"/>
    <w:rsid w:val="00656341"/>
    <w:rsid w:val="00670BF7"/>
    <w:rsid w:val="00672147"/>
    <w:rsid w:val="00675902"/>
    <w:rsid w:val="006775E8"/>
    <w:rsid w:val="00680809"/>
    <w:rsid w:val="00681F2E"/>
    <w:rsid w:val="00683193"/>
    <w:rsid w:val="00685C44"/>
    <w:rsid w:val="0068668E"/>
    <w:rsid w:val="00691817"/>
    <w:rsid w:val="006964CD"/>
    <w:rsid w:val="006B0B98"/>
    <w:rsid w:val="006B2025"/>
    <w:rsid w:val="006B2EC4"/>
    <w:rsid w:val="006B2FFB"/>
    <w:rsid w:val="006B3521"/>
    <w:rsid w:val="006B6DD1"/>
    <w:rsid w:val="006B7361"/>
    <w:rsid w:val="006C1051"/>
    <w:rsid w:val="006C5E80"/>
    <w:rsid w:val="006D00AF"/>
    <w:rsid w:val="006D1D46"/>
    <w:rsid w:val="006D2B6B"/>
    <w:rsid w:val="006D2D24"/>
    <w:rsid w:val="006D3119"/>
    <w:rsid w:val="006D3A6C"/>
    <w:rsid w:val="006E2895"/>
    <w:rsid w:val="006E377B"/>
    <w:rsid w:val="006E580E"/>
    <w:rsid w:val="006F1F9E"/>
    <w:rsid w:val="006F2916"/>
    <w:rsid w:val="007019F0"/>
    <w:rsid w:val="00720D81"/>
    <w:rsid w:val="00721651"/>
    <w:rsid w:val="00723BD4"/>
    <w:rsid w:val="0073015A"/>
    <w:rsid w:val="007308BF"/>
    <w:rsid w:val="007328C3"/>
    <w:rsid w:val="007425A0"/>
    <w:rsid w:val="00742E73"/>
    <w:rsid w:val="00746DFB"/>
    <w:rsid w:val="007507A9"/>
    <w:rsid w:val="00752E66"/>
    <w:rsid w:val="00754476"/>
    <w:rsid w:val="007733F1"/>
    <w:rsid w:val="00776DC4"/>
    <w:rsid w:val="00781F70"/>
    <w:rsid w:val="00782DE5"/>
    <w:rsid w:val="00783E29"/>
    <w:rsid w:val="00787C46"/>
    <w:rsid w:val="007A0FAF"/>
    <w:rsid w:val="007A61F0"/>
    <w:rsid w:val="007A736B"/>
    <w:rsid w:val="007B3333"/>
    <w:rsid w:val="007B35F8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43613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876E3"/>
    <w:rsid w:val="008915E8"/>
    <w:rsid w:val="008920A0"/>
    <w:rsid w:val="00893D65"/>
    <w:rsid w:val="008A0452"/>
    <w:rsid w:val="008A597C"/>
    <w:rsid w:val="008B02B1"/>
    <w:rsid w:val="008B09DC"/>
    <w:rsid w:val="008B60AE"/>
    <w:rsid w:val="008B6C12"/>
    <w:rsid w:val="008B72A4"/>
    <w:rsid w:val="008B778A"/>
    <w:rsid w:val="008C3C3D"/>
    <w:rsid w:val="008C625A"/>
    <w:rsid w:val="008C7B02"/>
    <w:rsid w:val="008D0133"/>
    <w:rsid w:val="008D24FC"/>
    <w:rsid w:val="008D59EC"/>
    <w:rsid w:val="008E2334"/>
    <w:rsid w:val="008F160C"/>
    <w:rsid w:val="009019AA"/>
    <w:rsid w:val="00901E29"/>
    <w:rsid w:val="00913C43"/>
    <w:rsid w:val="00931A29"/>
    <w:rsid w:val="00943F5E"/>
    <w:rsid w:val="00947F17"/>
    <w:rsid w:val="00952348"/>
    <w:rsid w:val="00953519"/>
    <w:rsid w:val="009543D5"/>
    <w:rsid w:val="00956575"/>
    <w:rsid w:val="009607E6"/>
    <w:rsid w:val="009730EC"/>
    <w:rsid w:val="00981118"/>
    <w:rsid w:val="009852E1"/>
    <w:rsid w:val="00987DDE"/>
    <w:rsid w:val="0099064E"/>
    <w:rsid w:val="0099195D"/>
    <w:rsid w:val="00994F69"/>
    <w:rsid w:val="009B3CDB"/>
    <w:rsid w:val="009B62A0"/>
    <w:rsid w:val="009C40E0"/>
    <w:rsid w:val="009D419F"/>
    <w:rsid w:val="009E4D00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7610D"/>
    <w:rsid w:val="00A80A09"/>
    <w:rsid w:val="00A81E36"/>
    <w:rsid w:val="00A84C82"/>
    <w:rsid w:val="00A938DA"/>
    <w:rsid w:val="00A97B09"/>
    <w:rsid w:val="00AA14F4"/>
    <w:rsid w:val="00AB173A"/>
    <w:rsid w:val="00AB1D4E"/>
    <w:rsid w:val="00AD22E7"/>
    <w:rsid w:val="00AD66DA"/>
    <w:rsid w:val="00AE1BD4"/>
    <w:rsid w:val="00AE2136"/>
    <w:rsid w:val="00AE7241"/>
    <w:rsid w:val="00AF13C7"/>
    <w:rsid w:val="00AF66E7"/>
    <w:rsid w:val="00AF7F07"/>
    <w:rsid w:val="00B03B77"/>
    <w:rsid w:val="00B05A7D"/>
    <w:rsid w:val="00B05BA9"/>
    <w:rsid w:val="00B05FAE"/>
    <w:rsid w:val="00B165AA"/>
    <w:rsid w:val="00B2616A"/>
    <w:rsid w:val="00B264F3"/>
    <w:rsid w:val="00B3411F"/>
    <w:rsid w:val="00B3457A"/>
    <w:rsid w:val="00B3760A"/>
    <w:rsid w:val="00B403AC"/>
    <w:rsid w:val="00B41355"/>
    <w:rsid w:val="00B4244B"/>
    <w:rsid w:val="00B5424E"/>
    <w:rsid w:val="00B6188B"/>
    <w:rsid w:val="00B64442"/>
    <w:rsid w:val="00B7408F"/>
    <w:rsid w:val="00B7453C"/>
    <w:rsid w:val="00B77ADD"/>
    <w:rsid w:val="00B83B20"/>
    <w:rsid w:val="00B92F40"/>
    <w:rsid w:val="00B94D8D"/>
    <w:rsid w:val="00B9567C"/>
    <w:rsid w:val="00BA2A98"/>
    <w:rsid w:val="00BB35C4"/>
    <w:rsid w:val="00BC5773"/>
    <w:rsid w:val="00BC703A"/>
    <w:rsid w:val="00BD3799"/>
    <w:rsid w:val="00BE31B8"/>
    <w:rsid w:val="00BE3D7A"/>
    <w:rsid w:val="00BE55B3"/>
    <w:rsid w:val="00BF1122"/>
    <w:rsid w:val="00BF3607"/>
    <w:rsid w:val="00BF460E"/>
    <w:rsid w:val="00BF4D4E"/>
    <w:rsid w:val="00BF5744"/>
    <w:rsid w:val="00BF65A4"/>
    <w:rsid w:val="00C203C6"/>
    <w:rsid w:val="00C2158D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314E"/>
    <w:rsid w:val="00C9423E"/>
    <w:rsid w:val="00C944AB"/>
    <w:rsid w:val="00C963F5"/>
    <w:rsid w:val="00CA025A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4409"/>
    <w:rsid w:val="00CE7064"/>
    <w:rsid w:val="00CF6FCC"/>
    <w:rsid w:val="00D00622"/>
    <w:rsid w:val="00D029B1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0A31"/>
    <w:rsid w:val="00D56960"/>
    <w:rsid w:val="00D6785E"/>
    <w:rsid w:val="00D70473"/>
    <w:rsid w:val="00D7638D"/>
    <w:rsid w:val="00DA5E2F"/>
    <w:rsid w:val="00DB2A2F"/>
    <w:rsid w:val="00DB766A"/>
    <w:rsid w:val="00DB7A2C"/>
    <w:rsid w:val="00DC709F"/>
    <w:rsid w:val="00DD0D59"/>
    <w:rsid w:val="00DD2635"/>
    <w:rsid w:val="00DD5098"/>
    <w:rsid w:val="00DD51AF"/>
    <w:rsid w:val="00DD7598"/>
    <w:rsid w:val="00DE2D54"/>
    <w:rsid w:val="00DE45E4"/>
    <w:rsid w:val="00DE76DA"/>
    <w:rsid w:val="00DF3ED0"/>
    <w:rsid w:val="00DF4014"/>
    <w:rsid w:val="00E031B0"/>
    <w:rsid w:val="00E109AC"/>
    <w:rsid w:val="00E11207"/>
    <w:rsid w:val="00E131F8"/>
    <w:rsid w:val="00E142A6"/>
    <w:rsid w:val="00E20046"/>
    <w:rsid w:val="00E21A90"/>
    <w:rsid w:val="00E254D2"/>
    <w:rsid w:val="00E27C66"/>
    <w:rsid w:val="00E36237"/>
    <w:rsid w:val="00E36A2A"/>
    <w:rsid w:val="00E37E15"/>
    <w:rsid w:val="00E42AC3"/>
    <w:rsid w:val="00E42B35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6E1B"/>
    <w:rsid w:val="00E87A46"/>
    <w:rsid w:val="00EB2D2C"/>
    <w:rsid w:val="00EB44E5"/>
    <w:rsid w:val="00EB6EFD"/>
    <w:rsid w:val="00EC04B5"/>
    <w:rsid w:val="00EC3999"/>
    <w:rsid w:val="00EC4A9E"/>
    <w:rsid w:val="00EC5262"/>
    <w:rsid w:val="00EC69C8"/>
    <w:rsid w:val="00EC7F94"/>
    <w:rsid w:val="00ED0D52"/>
    <w:rsid w:val="00ED1DAB"/>
    <w:rsid w:val="00ED376C"/>
    <w:rsid w:val="00EE287C"/>
    <w:rsid w:val="00EE3F49"/>
    <w:rsid w:val="00EE4834"/>
    <w:rsid w:val="00F0225B"/>
    <w:rsid w:val="00F04BB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2ACB"/>
    <w:rsid w:val="00F641F8"/>
    <w:rsid w:val="00F72775"/>
    <w:rsid w:val="00F85EFE"/>
    <w:rsid w:val="00F91055"/>
    <w:rsid w:val="00FA5A65"/>
    <w:rsid w:val="00FA5B15"/>
    <w:rsid w:val="00FC0CA0"/>
    <w:rsid w:val="00FC1BDA"/>
    <w:rsid w:val="00FD04E9"/>
    <w:rsid w:val="00FD33D7"/>
    <w:rsid w:val="00FD5367"/>
    <w:rsid w:val="00FE0617"/>
    <w:rsid w:val="00FF08D0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8E3A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23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721651"/>
    <w:rPr>
      <w:b/>
      <w:bCs/>
    </w:rPr>
  </w:style>
  <w:style w:type="paragraph" w:customStyle="1" w:styleId="rteright">
    <w:name w:val="rteright"/>
    <w:basedOn w:val="a"/>
    <w:rsid w:val="0072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D9A8-729F-4486-B5AC-90585E42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7102</Words>
  <Characters>4049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8</cp:revision>
  <cp:lastPrinted>2026-01-05T13:27:00Z</cp:lastPrinted>
  <dcterms:created xsi:type="dcterms:W3CDTF">2026-01-06T10:03:00Z</dcterms:created>
  <dcterms:modified xsi:type="dcterms:W3CDTF">2026-01-07T14:07:00Z</dcterms:modified>
</cp:coreProperties>
</file>